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0930" w14:textId="77777777" w:rsidR="000659D5" w:rsidRDefault="000659D5" w:rsidP="00EA5909">
      <w:pPr>
        <w:spacing w:after="120" w:line="288" w:lineRule="auto"/>
        <w:jc w:val="both"/>
        <w:rPr>
          <w:rFonts w:ascii="Arial" w:hAnsi="Arial" w:cs="Arial"/>
          <w:b/>
          <w:sz w:val="24"/>
          <w:szCs w:val="24"/>
          <w:lang w:val="en-US"/>
        </w:rPr>
      </w:pPr>
    </w:p>
    <w:p w14:paraId="6BEC3DA3" w14:textId="74C38422" w:rsidR="00F75533" w:rsidRPr="00EA5909" w:rsidRDefault="00F75533" w:rsidP="00EA5909">
      <w:pPr>
        <w:spacing w:after="120" w:line="288" w:lineRule="auto"/>
        <w:jc w:val="both"/>
        <w:rPr>
          <w:rFonts w:ascii="Arial" w:hAnsi="Arial" w:cs="Arial"/>
          <w:sz w:val="24"/>
          <w:szCs w:val="24"/>
        </w:rPr>
      </w:pPr>
      <w:r w:rsidRPr="00EA5909">
        <w:rPr>
          <w:rFonts w:ascii="Arial" w:hAnsi="Arial" w:cs="Arial"/>
          <w:b/>
          <w:sz w:val="24"/>
          <w:szCs w:val="24"/>
        </w:rPr>
        <w:t xml:space="preserve">Σύνδρομο </w:t>
      </w:r>
      <w:r w:rsidRPr="00EA5909">
        <w:rPr>
          <w:rFonts w:ascii="Arial" w:hAnsi="Arial" w:cs="Arial"/>
          <w:b/>
          <w:sz w:val="24"/>
          <w:szCs w:val="24"/>
          <w:lang w:val="en-US"/>
        </w:rPr>
        <w:t>Cushing</w:t>
      </w:r>
      <w:r w:rsidRPr="00EA5909">
        <w:rPr>
          <w:rFonts w:ascii="Arial" w:hAnsi="Arial" w:cs="Arial"/>
          <w:b/>
          <w:sz w:val="24"/>
          <w:szCs w:val="24"/>
        </w:rPr>
        <w:t xml:space="preserve">: </w:t>
      </w:r>
      <w:r w:rsidRPr="00EA5909">
        <w:rPr>
          <w:rFonts w:ascii="Arial" w:hAnsi="Arial" w:cs="Arial"/>
          <w:sz w:val="24"/>
          <w:szCs w:val="24"/>
        </w:rPr>
        <w:t xml:space="preserve">προκαλείται από ενδογενή υπερπαραγωγή </w:t>
      </w:r>
      <w:r w:rsidR="000F6925" w:rsidRPr="00EA5909">
        <w:rPr>
          <w:rFonts w:ascii="Arial" w:hAnsi="Arial" w:cs="Arial"/>
          <w:sz w:val="24"/>
          <w:szCs w:val="24"/>
        </w:rPr>
        <w:t>κορτιζόλης πιο συχνά από κάποιο αδένωμα των επινεφριδίων</w:t>
      </w:r>
      <w:r w:rsidRPr="00EA5909">
        <w:rPr>
          <w:rFonts w:ascii="Arial" w:hAnsi="Arial" w:cs="Arial"/>
          <w:sz w:val="24"/>
          <w:szCs w:val="24"/>
        </w:rPr>
        <w:t xml:space="preserve"> ή εξωγενή χορήγηση μεγάλων ποσοτήτων  κορτιζόλης για μεγάλο χρονικό διάστημα.</w:t>
      </w:r>
    </w:p>
    <w:p w14:paraId="61057BF7" w14:textId="77777777" w:rsidR="00F75533" w:rsidRPr="00EA5909" w:rsidRDefault="00F75533" w:rsidP="00EA5909">
      <w:pPr>
        <w:spacing w:after="120" w:line="288" w:lineRule="auto"/>
        <w:jc w:val="both"/>
        <w:rPr>
          <w:rFonts w:ascii="Arial" w:hAnsi="Arial" w:cs="Arial"/>
          <w:sz w:val="24"/>
          <w:szCs w:val="24"/>
        </w:rPr>
      </w:pPr>
      <w:r w:rsidRPr="00EA5909">
        <w:rPr>
          <w:rFonts w:ascii="Arial" w:hAnsi="Arial" w:cs="Arial"/>
          <w:sz w:val="24"/>
          <w:szCs w:val="24"/>
        </w:rPr>
        <w:t xml:space="preserve">Συχνά συμπτώματα και κλινικά σημεία του συνδρόμου </w:t>
      </w:r>
      <w:r w:rsidRPr="00EA5909">
        <w:rPr>
          <w:rFonts w:ascii="Arial" w:hAnsi="Arial" w:cs="Arial"/>
          <w:sz w:val="24"/>
          <w:szCs w:val="24"/>
          <w:lang w:val="en-US"/>
        </w:rPr>
        <w:t>Cushing</w:t>
      </w:r>
      <w:r w:rsidRPr="00EA5909">
        <w:rPr>
          <w:rFonts w:ascii="Arial" w:hAnsi="Arial" w:cs="Arial"/>
          <w:sz w:val="24"/>
          <w:szCs w:val="24"/>
        </w:rPr>
        <w:t>:</w:t>
      </w:r>
    </w:p>
    <w:p w14:paraId="2A71A659" w14:textId="77777777" w:rsidR="00F75533" w:rsidRPr="00EA5909" w:rsidRDefault="00F75533" w:rsidP="00EA5909">
      <w:pPr>
        <w:pStyle w:val="ListParagraph"/>
        <w:numPr>
          <w:ilvl w:val="0"/>
          <w:numId w:val="1"/>
        </w:numPr>
        <w:spacing w:after="120" w:line="288" w:lineRule="auto"/>
        <w:jc w:val="both"/>
        <w:rPr>
          <w:rFonts w:ascii="Arial" w:hAnsi="Arial" w:cs="Arial"/>
          <w:sz w:val="24"/>
          <w:szCs w:val="24"/>
        </w:rPr>
      </w:pPr>
      <w:r w:rsidRPr="00EA5909">
        <w:rPr>
          <w:rFonts w:ascii="Arial" w:hAnsi="Arial" w:cs="Arial"/>
          <w:sz w:val="24"/>
          <w:szCs w:val="24"/>
        </w:rPr>
        <w:t>Αύξηση του σωματικού βάρους και εναπόθεση λιπώδους ιστού κυρίως στην κοιλιά και στην άνω πλάτη, στο πρόσωπο (πανσεληνοειδές προσωπείο) και ανάμεσα στις ωμοπλάτες στην περιοχή του αυχένα.</w:t>
      </w:r>
    </w:p>
    <w:p w14:paraId="65076239" w14:textId="77777777" w:rsidR="00F75533" w:rsidRPr="00EA5909" w:rsidRDefault="00F75533" w:rsidP="00EA5909">
      <w:pPr>
        <w:pStyle w:val="ListParagraph"/>
        <w:numPr>
          <w:ilvl w:val="0"/>
          <w:numId w:val="1"/>
        </w:numPr>
        <w:spacing w:after="120" w:line="288" w:lineRule="auto"/>
        <w:jc w:val="both"/>
        <w:rPr>
          <w:rFonts w:ascii="Arial" w:hAnsi="Arial" w:cs="Arial"/>
          <w:sz w:val="24"/>
          <w:szCs w:val="24"/>
        </w:rPr>
      </w:pPr>
      <w:r w:rsidRPr="00EA5909">
        <w:rPr>
          <w:rFonts w:ascii="Arial" w:hAnsi="Arial" w:cs="Arial"/>
          <w:sz w:val="24"/>
          <w:szCs w:val="24"/>
        </w:rPr>
        <w:t>Ερυθρές ραβδώσεις στην κοιλι</w:t>
      </w:r>
      <w:r w:rsidR="00423327" w:rsidRPr="00EA5909">
        <w:rPr>
          <w:rFonts w:ascii="Arial" w:hAnsi="Arial" w:cs="Arial"/>
          <w:sz w:val="24"/>
          <w:szCs w:val="24"/>
        </w:rPr>
        <w:t>ά, μηρούς, στήθος και βραχίονες</w:t>
      </w:r>
    </w:p>
    <w:p w14:paraId="674FFFE5" w14:textId="77777777" w:rsidR="00F75533" w:rsidRPr="00EA5909" w:rsidRDefault="00F75533" w:rsidP="00EA5909">
      <w:pPr>
        <w:pStyle w:val="ListParagraph"/>
        <w:numPr>
          <w:ilvl w:val="0"/>
          <w:numId w:val="1"/>
        </w:numPr>
        <w:spacing w:after="120" w:line="288" w:lineRule="auto"/>
        <w:jc w:val="both"/>
        <w:rPr>
          <w:rFonts w:ascii="Arial" w:hAnsi="Arial" w:cs="Arial"/>
          <w:sz w:val="24"/>
          <w:szCs w:val="24"/>
        </w:rPr>
      </w:pPr>
      <w:r w:rsidRPr="00EA5909">
        <w:rPr>
          <w:rFonts w:ascii="Arial" w:hAnsi="Arial" w:cs="Arial"/>
          <w:sz w:val="24"/>
          <w:szCs w:val="24"/>
        </w:rPr>
        <w:t>Λεπτό, εύθραυστο δέρμα και</w:t>
      </w:r>
      <w:r w:rsidR="00423327" w:rsidRPr="00EA5909">
        <w:rPr>
          <w:rFonts w:ascii="Arial" w:hAnsi="Arial" w:cs="Arial"/>
          <w:sz w:val="24"/>
          <w:szCs w:val="24"/>
        </w:rPr>
        <w:t xml:space="preserve"> εύκολα δημιουργούμενοι μώλωπες</w:t>
      </w:r>
    </w:p>
    <w:p w14:paraId="0318D035" w14:textId="77777777" w:rsidR="00F75533" w:rsidRPr="00EA5909" w:rsidRDefault="00F75533" w:rsidP="00EA5909">
      <w:pPr>
        <w:pStyle w:val="ListParagraph"/>
        <w:numPr>
          <w:ilvl w:val="0"/>
          <w:numId w:val="1"/>
        </w:numPr>
        <w:spacing w:after="120" w:line="288" w:lineRule="auto"/>
        <w:jc w:val="both"/>
        <w:rPr>
          <w:rFonts w:ascii="Arial" w:hAnsi="Arial" w:cs="Arial"/>
          <w:sz w:val="24"/>
          <w:szCs w:val="24"/>
        </w:rPr>
      </w:pPr>
      <w:r w:rsidRPr="00EA5909">
        <w:rPr>
          <w:rFonts w:ascii="Arial" w:hAnsi="Arial" w:cs="Arial"/>
          <w:sz w:val="24"/>
          <w:szCs w:val="24"/>
        </w:rPr>
        <w:t>Αργή ε</w:t>
      </w:r>
      <w:r w:rsidR="00423327" w:rsidRPr="00EA5909">
        <w:rPr>
          <w:rFonts w:ascii="Arial" w:hAnsi="Arial" w:cs="Arial"/>
          <w:sz w:val="24"/>
          <w:szCs w:val="24"/>
        </w:rPr>
        <w:t>πούλωση τραυμάτων και μολύνσεων</w:t>
      </w:r>
    </w:p>
    <w:p w14:paraId="69F836D3" w14:textId="77777777" w:rsidR="00F75533" w:rsidRPr="00EA5909" w:rsidRDefault="00F75533" w:rsidP="00EA5909">
      <w:pPr>
        <w:pStyle w:val="ListParagraph"/>
        <w:numPr>
          <w:ilvl w:val="0"/>
          <w:numId w:val="1"/>
        </w:numPr>
        <w:spacing w:after="120" w:line="288" w:lineRule="auto"/>
        <w:jc w:val="both"/>
        <w:rPr>
          <w:rFonts w:ascii="Arial" w:hAnsi="Arial" w:cs="Arial"/>
          <w:sz w:val="24"/>
          <w:szCs w:val="24"/>
        </w:rPr>
      </w:pPr>
      <w:r w:rsidRPr="00EA5909">
        <w:rPr>
          <w:rFonts w:ascii="Arial" w:hAnsi="Arial" w:cs="Arial"/>
          <w:sz w:val="24"/>
          <w:szCs w:val="24"/>
        </w:rPr>
        <w:t>Ακμή</w:t>
      </w:r>
    </w:p>
    <w:p w14:paraId="725C37FC" w14:textId="77777777" w:rsidR="00F75533" w:rsidRPr="00EA5909" w:rsidRDefault="00F75533" w:rsidP="00EA5909">
      <w:pPr>
        <w:pStyle w:val="ListParagraph"/>
        <w:numPr>
          <w:ilvl w:val="0"/>
          <w:numId w:val="1"/>
        </w:numPr>
        <w:spacing w:after="120" w:line="288" w:lineRule="auto"/>
        <w:jc w:val="both"/>
        <w:rPr>
          <w:rFonts w:ascii="Arial" w:hAnsi="Arial" w:cs="Arial"/>
          <w:sz w:val="24"/>
          <w:szCs w:val="24"/>
        </w:rPr>
      </w:pPr>
      <w:r w:rsidRPr="00EA5909">
        <w:rPr>
          <w:rFonts w:ascii="Arial" w:hAnsi="Arial" w:cs="Arial"/>
          <w:sz w:val="24"/>
          <w:szCs w:val="24"/>
        </w:rPr>
        <w:t>Αύξηση της τριχοφυΐα</w:t>
      </w:r>
      <w:r w:rsidR="00423327" w:rsidRPr="00EA5909">
        <w:rPr>
          <w:rFonts w:ascii="Arial" w:hAnsi="Arial" w:cs="Arial"/>
          <w:sz w:val="24"/>
          <w:szCs w:val="24"/>
        </w:rPr>
        <w:t>ς και υπερτρίχωση στις γυναίκες</w:t>
      </w:r>
    </w:p>
    <w:p w14:paraId="56DCAEA3" w14:textId="77777777" w:rsidR="00F75533" w:rsidRPr="00EA5909" w:rsidRDefault="00F75533" w:rsidP="00EA5909">
      <w:pPr>
        <w:pStyle w:val="ListParagraph"/>
        <w:numPr>
          <w:ilvl w:val="0"/>
          <w:numId w:val="1"/>
        </w:numPr>
        <w:spacing w:after="120" w:line="288" w:lineRule="auto"/>
        <w:jc w:val="both"/>
        <w:rPr>
          <w:rFonts w:ascii="Arial" w:hAnsi="Arial" w:cs="Arial"/>
          <w:sz w:val="24"/>
          <w:szCs w:val="24"/>
        </w:rPr>
      </w:pPr>
      <w:r w:rsidRPr="00EA5909">
        <w:rPr>
          <w:rFonts w:ascii="Arial" w:hAnsi="Arial" w:cs="Arial"/>
          <w:sz w:val="24"/>
          <w:szCs w:val="24"/>
        </w:rPr>
        <w:t>Διαταραχές εμμήνου ρύσεως στις γυναίκες</w:t>
      </w:r>
    </w:p>
    <w:p w14:paraId="6B249939" w14:textId="77777777" w:rsidR="00F75533" w:rsidRPr="00EA5909" w:rsidRDefault="00F75533" w:rsidP="00EA5909">
      <w:pPr>
        <w:pStyle w:val="ListParagraph"/>
        <w:numPr>
          <w:ilvl w:val="0"/>
          <w:numId w:val="1"/>
        </w:numPr>
        <w:spacing w:after="120" w:line="288" w:lineRule="auto"/>
        <w:jc w:val="both"/>
        <w:rPr>
          <w:rFonts w:ascii="Arial" w:hAnsi="Arial" w:cs="Arial"/>
          <w:sz w:val="24"/>
          <w:szCs w:val="24"/>
        </w:rPr>
      </w:pPr>
      <w:r w:rsidRPr="00EA5909">
        <w:rPr>
          <w:rFonts w:ascii="Arial" w:hAnsi="Arial" w:cs="Arial"/>
          <w:sz w:val="24"/>
          <w:szCs w:val="24"/>
        </w:rPr>
        <w:t>Ελαττωμένη σεξουαλική επιθυμία στους άνδρες</w:t>
      </w:r>
    </w:p>
    <w:p w14:paraId="76172321" w14:textId="77777777" w:rsidR="00F75533" w:rsidRPr="00EA5909" w:rsidRDefault="00F75533" w:rsidP="00EA5909">
      <w:pPr>
        <w:pStyle w:val="ListParagraph"/>
        <w:numPr>
          <w:ilvl w:val="0"/>
          <w:numId w:val="1"/>
        </w:numPr>
        <w:spacing w:after="120" w:line="288" w:lineRule="auto"/>
        <w:jc w:val="both"/>
        <w:rPr>
          <w:rFonts w:ascii="Arial" w:hAnsi="Arial" w:cs="Arial"/>
          <w:sz w:val="24"/>
          <w:szCs w:val="24"/>
        </w:rPr>
      </w:pPr>
      <w:r w:rsidRPr="00EA5909">
        <w:rPr>
          <w:rFonts w:ascii="Arial" w:hAnsi="Arial" w:cs="Arial"/>
          <w:sz w:val="24"/>
          <w:szCs w:val="24"/>
        </w:rPr>
        <w:t>Ελαττωμένη γονιμότητα στους άνδρες</w:t>
      </w:r>
    </w:p>
    <w:p w14:paraId="70AB99E7" w14:textId="5A2B2015" w:rsidR="00F75533" w:rsidRPr="00EA5909" w:rsidRDefault="00F75533" w:rsidP="00EA5909">
      <w:pPr>
        <w:pStyle w:val="ListParagraph"/>
        <w:numPr>
          <w:ilvl w:val="0"/>
          <w:numId w:val="1"/>
        </w:numPr>
        <w:spacing w:after="120" w:line="288" w:lineRule="auto"/>
        <w:jc w:val="both"/>
        <w:rPr>
          <w:rFonts w:ascii="Arial" w:hAnsi="Arial" w:cs="Arial"/>
          <w:sz w:val="24"/>
          <w:szCs w:val="24"/>
        </w:rPr>
      </w:pPr>
      <w:r w:rsidRPr="00EA5909">
        <w:rPr>
          <w:rFonts w:ascii="Arial" w:hAnsi="Arial" w:cs="Arial"/>
          <w:sz w:val="24"/>
          <w:szCs w:val="24"/>
        </w:rPr>
        <w:t>Στυτική δυσλειτουργία στους άνδρες</w:t>
      </w:r>
    </w:p>
    <w:p w14:paraId="58183870" w14:textId="146F004E" w:rsidR="000F6925" w:rsidRPr="00EA5909" w:rsidRDefault="000F6925" w:rsidP="00EA5909">
      <w:pPr>
        <w:spacing w:after="120" w:line="288" w:lineRule="auto"/>
        <w:jc w:val="both"/>
        <w:rPr>
          <w:rFonts w:ascii="Arial" w:hAnsi="Arial" w:cs="Arial"/>
          <w:sz w:val="24"/>
          <w:szCs w:val="24"/>
        </w:rPr>
      </w:pPr>
      <w:r w:rsidRPr="00EA5909">
        <w:rPr>
          <w:rFonts w:ascii="Arial" w:hAnsi="Arial" w:cs="Arial"/>
          <w:sz w:val="24"/>
          <w:szCs w:val="24"/>
        </w:rPr>
        <w:t>Η διάγνωση γίνεται με μέτρηση των επιπέδων της κορτιζόλης στα ούρα και στο αίμα στα πλαίσια κάποιων διαγνωστικών δοκιμασιών. Επίσης συνήθως χρειάζεται να γίνει απεικόνιση του αδενώματος με αξονική τομογραφία των επινεφριδίων.</w:t>
      </w:r>
      <w:r w:rsidR="00075A14" w:rsidRPr="00EA5909">
        <w:rPr>
          <w:rFonts w:ascii="Arial" w:hAnsi="Arial" w:cs="Arial"/>
          <w:sz w:val="24"/>
          <w:szCs w:val="24"/>
        </w:rPr>
        <w:t xml:space="preserve"> Σπανιότερα μπορεί να γίνει καθετηριασμός των επινεφριδιακών φλεβών.</w:t>
      </w:r>
    </w:p>
    <w:p w14:paraId="437AA397" w14:textId="332FA6BE" w:rsidR="000F6925" w:rsidRPr="00EA5909" w:rsidRDefault="000F6925" w:rsidP="00EA5909">
      <w:pPr>
        <w:spacing w:after="120" w:line="288" w:lineRule="auto"/>
        <w:jc w:val="both"/>
        <w:rPr>
          <w:rFonts w:ascii="Arial" w:hAnsi="Arial" w:cs="Arial"/>
          <w:sz w:val="24"/>
          <w:szCs w:val="24"/>
        </w:rPr>
      </w:pPr>
      <w:r w:rsidRPr="00EA5909">
        <w:rPr>
          <w:rFonts w:ascii="Arial" w:hAnsi="Arial" w:cs="Arial"/>
          <w:sz w:val="24"/>
          <w:szCs w:val="24"/>
        </w:rPr>
        <w:t>Η θεραπεία συνίσταται σε χειρουργική αφαίρεση του επινεφριδίου που φέρει το αδένωμα</w:t>
      </w:r>
      <w:r w:rsidR="00075A14" w:rsidRPr="00EA5909">
        <w:rPr>
          <w:rFonts w:ascii="Arial" w:hAnsi="Arial" w:cs="Arial"/>
          <w:sz w:val="24"/>
          <w:szCs w:val="24"/>
        </w:rPr>
        <w:t xml:space="preserve"> και γίνεται συνήθως λαπαροσκοπικά</w:t>
      </w:r>
      <w:r w:rsidRPr="00EA5909">
        <w:rPr>
          <w:rFonts w:ascii="Arial" w:hAnsi="Arial" w:cs="Arial"/>
          <w:sz w:val="24"/>
          <w:szCs w:val="24"/>
        </w:rPr>
        <w:t xml:space="preserve">. </w:t>
      </w:r>
    </w:p>
    <w:p w14:paraId="2B718E64" w14:textId="77777777" w:rsidR="00EA5909" w:rsidRPr="000659D5" w:rsidRDefault="00EA5909" w:rsidP="00EA5909">
      <w:pPr>
        <w:spacing w:after="120" w:line="288" w:lineRule="auto"/>
        <w:jc w:val="both"/>
        <w:rPr>
          <w:rFonts w:ascii="Arial" w:hAnsi="Arial" w:cs="Arial"/>
          <w:b/>
          <w:sz w:val="24"/>
          <w:szCs w:val="24"/>
        </w:rPr>
      </w:pPr>
    </w:p>
    <w:p w14:paraId="770CE0A8" w14:textId="77777777" w:rsidR="00EA5909" w:rsidRPr="000659D5" w:rsidRDefault="00EA5909" w:rsidP="00EA5909">
      <w:pPr>
        <w:spacing w:after="120" w:line="288" w:lineRule="auto"/>
        <w:jc w:val="both"/>
        <w:rPr>
          <w:rFonts w:ascii="Arial" w:hAnsi="Arial" w:cs="Arial"/>
          <w:b/>
          <w:sz w:val="24"/>
          <w:szCs w:val="24"/>
        </w:rPr>
      </w:pPr>
    </w:p>
    <w:p w14:paraId="7BB36106" w14:textId="77777777" w:rsidR="000659D5" w:rsidRPr="00FA08F7" w:rsidRDefault="000659D5" w:rsidP="00EA5909">
      <w:pPr>
        <w:spacing w:after="120" w:line="288" w:lineRule="auto"/>
        <w:jc w:val="both"/>
        <w:rPr>
          <w:rFonts w:ascii="Arial" w:hAnsi="Arial" w:cs="Arial"/>
          <w:b/>
          <w:sz w:val="24"/>
          <w:szCs w:val="24"/>
        </w:rPr>
      </w:pPr>
    </w:p>
    <w:p w14:paraId="58FB0F98" w14:textId="21BA1B3B" w:rsidR="00F75533" w:rsidRPr="00EA5909" w:rsidRDefault="00F75533" w:rsidP="00EA5909">
      <w:pPr>
        <w:spacing w:after="120" w:line="288" w:lineRule="auto"/>
        <w:jc w:val="both"/>
        <w:rPr>
          <w:rFonts w:ascii="Arial" w:hAnsi="Arial" w:cs="Arial"/>
          <w:sz w:val="24"/>
          <w:szCs w:val="24"/>
          <w:lang w:val="en-US"/>
        </w:rPr>
      </w:pPr>
      <w:r w:rsidRPr="00EA5909">
        <w:rPr>
          <w:rFonts w:ascii="Arial" w:hAnsi="Arial" w:cs="Arial"/>
          <w:b/>
          <w:sz w:val="24"/>
          <w:szCs w:val="24"/>
          <w:lang w:val="en-US"/>
        </w:rPr>
        <w:t>Cushing syndrome</w:t>
      </w:r>
      <w:r w:rsidRPr="00EA5909">
        <w:rPr>
          <w:rFonts w:ascii="Arial" w:hAnsi="Arial" w:cs="Arial"/>
          <w:sz w:val="24"/>
          <w:szCs w:val="24"/>
          <w:lang w:val="en-US"/>
        </w:rPr>
        <w:t xml:space="preserve"> occurs when your body is exposed to high levels of the hormone cortisol for a long time or when your body makes too much cortisol on its own.</w:t>
      </w:r>
    </w:p>
    <w:p w14:paraId="329231F5" w14:textId="77777777" w:rsidR="00F75533" w:rsidRPr="00EA5909" w:rsidRDefault="00F75533" w:rsidP="00EA5909">
      <w:pPr>
        <w:spacing w:after="120" w:line="288" w:lineRule="auto"/>
        <w:jc w:val="both"/>
        <w:outlineLvl w:val="2"/>
        <w:rPr>
          <w:rFonts w:ascii="Arial" w:eastAsia="Times New Roman" w:hAnsi="Arial" w:cs="Arial"/>
          <w:b/>
          <w:bCs/>
          <w:sz w:val="24"/>
          <w:szCs w:val="24"/>
          <w:lang w:val="en-US" w:eastAsia="el-GR"/>
        </w:rPr>
      </w:pPr>
      <w:r w:rsidRPr="00EA5909">
        <w:rPr>
          <w:rFonts w:ascii="Arial" w:eastAsia="Times New Roman" w:hAnsi="Arial" w:cs="Arial"/>
          <w:b/>
          <w:bCs/>
          <w:sz w:val="24"/>
          <w:szCs w:val="24"/>
          <w:lang w:val="en-US" w:eastAsia="el-GR"/>
        </w:rPr>
        <w:t>Common signs and symptoms of Cushing syndrome</w:t>
      </w:r>
    </w:p>
    <w:p w14:paraId="2D935886" w14:textId="77777777" w:rsidR="00423327" w:rsidRPr="00EA5909" w:rsidRDefault="00F75533" w:rsidP="00EA5909">
      <w:pPr>
        <w:numPr>
          <w:ilvl w:val="0"/>
          <w:numId w:val="3"/>
        </w:numPr>
        <w:spacing w:after="120" w:line="288" w:lineRule="auto"/>
        <w:jc w:val="both"/>
        <w:rPr>
          <w:rFonts w:ascii="Arial" w:eastAsia="Times New Roman" w:hAnsi="Arial" w:cs="Arial"/>
          <w:sz w:val="24"/>
          <w:szCs w:val="24"/>
          <w:lang w:val="en-US" w:eastAsia="el-GR"/>
        </w:rPr>
      </w:pPr>
      <w:r w:rsidRPr="00EA5909">
        <w:rPr>
          <w:rFonts w:ascii="Arial" w:eastAsia="Times New Roman" w:hAnsi="Arial" w:cs="Arial"/>
          <w:sz w:val="24"/>
          <w:szCs w:val="24"/>
          <w:lang w:val="en-US" w:eastAsia="el-GR"/>
        </w:rPr>
        <w:t>Weight gain and fatty tissue deposits, particularly around the midsection and upper back, in the face (moon face), and between the shoulders (buffalo hump)</w:t>
      </w:r>
    </w:p>
    <w:p w14:paraId="08B7E254" w14:textId="77777777" w:rsidR="00F75533" w:rsidRPr="00EA5909" w:rsidRDefault="00F75533" w:rsidP="00EA5909">
      <w:pPr>
        <w:numPr>
          <w:ilvl w:val="0"/>
          <w:numId w:val="3"/>
        </w:numPr>
        <w:spacing w:after="120" w:line="288" w:lineRule="auto"/>
        <w:jc w:val="both"/>
        <w:rPr>
          <w:rFonts w:ascii="Arial" w:eastAsia="Times New Roman" w:hAnsi="Arial" w:cs="Arial"/>
          <w:sz w:val="24"/>
          <w:szCs w:val="24"/>
          <w:lang w:val="en-US" w:eastAsia="el-GR"/>
        </w:rPr>
      </w:pPr>
      <w:r w:rsidRPr="00EA5909">
        <w:rPr>
          <w:rFonts w:ascii="Arial" w:eastAsia="Times New Roman" w:hAnsi="Arial" w:cs="Arial"/>
          <w:sz w:val="24"/>
          <w:szCs w:val="24"/>
          <w:lang w:val="en-US" w:eastAsia="el-GR"/>
        </w:rPr>
        <w:t>Pink or purple stretch marks (striae) on the skin of the abdomen, thighs, breasts and arms</w:t>
      </w:r>
    </w:p>
    <w:p w14:paraId="1172553C" w14:textId="77777777" w:rsidR="00F75533" w:rsidRPr="00EA5909" w:rsidRDefault="00F75533" w:rsidP="00EA5909">
      <w:pPr>
        <w:numPr>
          <w:ilvl w:val="0"/>
          <w:numId w:val="3"/>
        </w:numPr>
        <w:spacing w:after="120" w:line="288" w:lineRule="auto"/>
        <w:jc w:val="both"/>
        <w:rPr>
          <w:rFonts w:ascii="Arial" w:eastAsia="Times New Roman" w:hAnsi="Arial" w:cs="Arial"/>
          <w:sz w:val="24"/>
          <w:szCs w:val="24"/>
          <w:lang w:val="en-US" w:eastAsia="el-GR"/>
        </w:rPr>
      </w:pPr>
      <w:r w:rsidRPr="00EA5909">
        <w:rPr>
          <w:rFonts w:ascii="Arial" w:eastAsia="Times New Roman" w:hAnsi="Arial" w:cs="Arial"/>
          <w:sz w:val="24"/>
          <w:szCs w:val="24"/>
          <w:lang w:val="en-US" w:eastAsia="el-GR"/>
        </w:rPr>
        <w:t>Thinning, fragile skin that bruises easily</w:t>
      </w:r>
    </w:p>
    <w:p w14:paraId="6A3C926C" w14:textId="77777777" w:rsidR="00F75533" w:rsidRPr="00EA5909" w:rsidRDefault="00F75533" w:rsidP="00EA5909">
      <w:pPr>
        <w:numPr>
          <w:ilvl w:val="0"/>
          <w:numId w:val="3"/>
        </w:numPr>
        <w:spacing w:after="120" w:line="288" w:lineRule="auto"/>
        <w:jc w:val="both"/>
        <w:rPr>
          <w:rFonts w:ascii="Arial" w:eastAsia="Times New Roman" w:hAnsi="Arial" w:cs="Arial"/>
          <w:sz w:val="24"/>
          <w:szCs w:val="24"/>
          <w:lang w:val="en-US" w:eastAsia="el-GR"/>
        </w:rPr>
      </w:pPr>
      <w:r w:rsidRPr="00EA5909">
        <w:rPr>
          <w:rFonts w:ascii="Arial" w:eastAsia="Times New Roman" w:hAnsi="Arial" w:cs="Arial"/>
          <w:sz w:val="24"/>
          <w:szCs w:val="24"/>
          <w:lang w:val="en-US" w:eastAsia="el-GR"/>
        </w:rPr>
        <w:t>Slow healing of cuts, insect bites and infections</w:t>
      </w:r>
    </w:p>
    <w:p w14:paraId="30CA18D8" w14:textId="77777777" w:rsidR="00F75533" w:rsidRPr="00EA5909" w:rsidRDefault="00F75533" w:rsidP="00EA5909">
      <w:pPr>
        <w:numPr>
          <w:ilvl w:val="0"/>
          <w:numId w:val="3"/>
        </w:numPr>
        <w:spacing w:after="120" w:line="288" w:lineRule="auto"/>
        <w:jc w:val="both"/>
        <w:rPr>
          <w:rFonts w:ascii="Arial" w:eastAsia="Times New Roman" w:hAnsi="Arial" w:cs="Arial"/>
          <w:sz w:val="24"/>
          <w:szCs w:val="24"/>
          <w:lang w:eastAsia="el-GR"/>
        </w:rPr>
      </w:pPr>
      <w:r w:rsidRPr="00EA5909">
        <w:rPr>
          <w:rFonts w:ascii="Arial" w:eastAsia="Times New Roman" w:hAnsi="Arial" w:cs="Arial"/>
          <w:sz w:val="24"/>
          <w:szCs w:val="24"/>
          <w:lang w:eastAsia="el-GR"/>
        </w:rPr>
        <w:t>Acne</w:t>
      </w:r>
    </w:p>
    <w:p w14:paraId="5427E79D" w14:textId="77777777" w:rsidR="00F75533" w:rsidRPr="00EA5909" w:rsidRDefault="00F75533" w:rsidP="00EA5909">
      <w:pPr>
        <w:numPr>
          <w:ilvl w:val="0"/>
          <w:numId w:val="3"/>
        </w:numPr>
        <w:spacing w:after="120" w:line="288" w:lineRule="auto"/>
        <w:jc w:val="both"/>
        <w:rPr>
          <w:rFonts w:ascii="Arial" w:eastAsia="Times New Roman" w:hAnsi="Arial" w:cs="Arial"/>
          <w:sz w:val="24"/>
          <w:szCs w:val="24"/>
          <w:lang w:val="en-US" w:eastAsia="el-GR"/>
        </w:rPr>
      </w:pPr>
      <w:r w:rsidRPr="00EA5909">
        <w:rPr>
          <w:rFonts w:ascii="Arial" w:eastAsia="Times New Roman" w:hAnsi="Arial" w:cs="Arial"/>
          <w:sz w:val="24"/>
          <w:szCs w:val="24"/>
          <w:lang w:val="en-US" w:eastAsia="el-GR"/>
        </w:rPr>
        <w:t>Thicker or more visible body and facial hair (hirsutism), in women</w:t>
      </w:r>
    </w:p>
    <w:p w14:paraId="19ED6760" w14:textId="77777777" w:rsidR="00F75533" w:rsidRPr="00EA5909" w:rsidRDefault="00F75533" w:rsidP="00EA5909">
      <w:pPr>
        <w:numPr>
          <w:ilvl w:val="0"/>
          <w:numId w:val="3"/>
        </w:numPr>
        <w:spacing w:after="120" w:line="288" w:lineRule="auto"/>
        <w:jc w:val="both"/>
        <w:rPr>
          <w:rFonts w:ascii="Arial" w:eastAsia="Times New Roman" w:hAnsi="Arial" w:cs="Arial"/>
          <w:sz w:val="24"/>
          <w:szCs w:val="24"/>
          <w:lang w:val="en-US" w:eastAsia="el-GR"/>
        </w:rPr>
      </w:pPr>
      <w:r w:rsidRPr="00EA5909">
        <w:rPr>
          <w:rFonts w:ascii="Arial" w:eastAsia="Times New Roman" w:hAnsi="Arial" w:cs="Arial"/>
          <w:sz w:val="24"/>
          <w:szCs w:val="24"/>
          <w:lang w:val="en-US" w:eastAsia="el-GR"/>
        </w:rPr>
        <w:t>Irregular or absent menstrual periods (women)</w:t>
      </w:r>
    </w:p>
    <w:p w14:paraId="43A39296" w14:textId="77777777" w:rsidR="00F75533" w:rsidRPr="00EA5909" w:rsidRDefault="00F75533" w:rsidP="00EA5909">
      <w:pPr>
        <w:numPr>
          <w:ilvl w:val="0"/>
          <w:numId w:val="3"/>
        </w:numPr>
        <w:spacing w:after="120" w:line="288" w:lineRule="auto"/>
        <w:jc w:val="both"/>
        <w:rPr>
          <w:rFonts w:ascii="Arial" w:eastAsia="Times New Roman" w:hAnsi="Arial" w:cs="Arial"/>
          <w:sz w:val="24"/>
          <w:szCs w:val="24"/>
          <w:lang w:eastAsia="el-GR"/>
        </w:rPr>
      </w:pPr>
      <w:r w:rsidRPr="00EA5909">
        <w:rPr>
          <w:rFonts w:ascii="Arial" w:eastAsia="Times New Roman" w:hAnsi="Arial" w:cs="Arial"/>
          <w:sz w:val="24"/>
          <w:szCs w:val="24"/>
          <w:lang w:eastAsia="el-GR"/>
        </w:rPr>
        <w:t>Decreased libido</w:t>
      </w:r>
      <w:r w:rsidRPr="00EA5909">
        <w:rPr>
          <w:rFonts w:ascii="Arial" w:eastAsia="Times New Roman" w:hAnsi="Arial" w:cs="Arial"/>
          <w:sz w:val="24"/>
          <w:szCs w:val="24"/>
          <w:lang w:val="en-US" w:eastAsia="el-GR"/>
        </w:rPr>
        <w:t xml:space="preserve"> (men)</w:t>
      </w:r>
    </w:p>
    <w:p w14:paraId="753B4D9F" w14:textId="5E0A944D" w:rsidR="00F75533" w:rsidRPr="00EA5909" w:rsidRDefault="00F75533" w:rsidP="00EA5909">
      <w:pPr>
        <w:numPr>
          <w:ilvl w:val="0"/>
          <w:numId w:val="3"/>
        </w:numPr>
        <w:spacing w:after="120" w:line="288" w:lineRule="auto"/>
        <w:jc w:val="both"/>
        <w:rPr>
          <w:rFonts w:ascii="Arial" w:eastAsia="Times New Roman" w:hAnsi="Arial" w:cs="Arial"/>
          <w:sz w:val="24"/>
          <w:szCs w:val="24"/>
          <w:lang w:val="en-US" w:eastAsia="el-GR"/>
        </w:rPr>
      </w:pPr>
      <w:r w:rsidRPr="00EA5909">
        <w:rPr>
          <w:rFonts w:ascii="Arial" w:eastAsia="Times New Roman" w:hAnsi="Arial" w:cs="Arial"/>
          <w:sz w:val="24"/>
          <w:szCs w:val="24"/>
          <w:lang w:val="en-US" w:eastAsia="el-GR"/>
        </w:rPr>
        <w:t>Decreased fertility (men)</w:t>
      </w:r>
      <w:r w:rsidR="00075A14" w:rsidRPr="00EA5909">
        <w:rPr>
          <w:rFonts w:ascii="Arial" w:eastAsia="Times New Roman" w:hAnsi="Arial" w:cs="Arial"/>
          <w:sz w:val="24"/>
          <w:szCs w:val="24"/>
          <w:lang w:val="en-US" w:eastAsia="el-GR"/>
        </w:rPr>
        <w:t>curries the adenoma.</w:t>
      </w:r>
    </w:p>
    <w:p w14:paraId="7F1DB163" w14:textId="016B7EDD" w:rsidR="00F75533" w:rsidRPr="00EA5909" w:rsidRDefault="00F75533" w:rsidP="00EA5909">
      <w:pPr>
        <w:numPr>
          <w:ilvl w:val="0"/>
          <w:numId w:val="3"/>
        </w:numPr>
        <w:spacing w:after="120" w:line="288" w:lineRule="auto"/>
        <w:jc w:val="both"/>
        <w:rPr>
          <w:rFonts w:ascii="Arial" w:eastAsia="Times New Roman" w:hAnsi="Arial" w:cs="Arial"/>
          <w:sz w:val="24"/>
          <w:szCs w:val="24"/>
          <w:lang w:eastAsia="el-GR"/>
        </w:rPr>
      </w:pPr>
      <w:r w:rsidRPr="00EA5909">
        <w:rPr>
          <w:rFonts w:ascii="Arial" w:eastAsia="Times New Roman" w:hAnsi="Arial" w:cs="Arial"/>
          <w:sz w:val="24"/>
          <w:szCs w:val="24"/>
          <w:lang w:eastAsia="el-GR"/>
        </w:rPr>
        <w:t>Erectile dysfunction</w:t>
      </w:r>
      <w:r w:rsidRPr="00EA5909">
        <w:rPr>
          <w:rFonts w:ascii="Arial" w:eastAsia="Times New Roman" w:hAnsi="Arial" w:cs="Arial"/>
          <w:sz w:val="24"/>
          <w:szCs w:val="24"/>
          <w:lang w:val="en-US" w:eastAsia="el-GR"/>
        </w:rPr>
        <w:t xml:space="preserve"> (men)</w:t>
      </w:r>
    </w:p>
    <w:p w14:paraId="13EEA58D" w14:textId="69EBFCCE" w:rsidR="00075A14" w:rsidRPr="00EA5909" w:rsidRDefault="00075A14" w:rsidP="00EA5909">
      <w:pPr>
        <w:spacing w:after="120" w:line="288" w:lineRule="auto"/>
        <w:jc w:val="both"/>
        <w:rPr>
          <w:rFonts w:ascii="Arial" w:eastAsia="Times New Roman" w:hAnsi="Arial" w:cs="Arial"/>
          <w:sz w:val="24"/>
          <w:szCs w:val="24"/>
          <w:lang w:val="en-US" w:eastAsia="el-GR"/>
        </w:rPr>
      </w:pPr>
      <w:r w:rsidRPr="00EA5909">
        <w:rPr>
          <w:rFonts w:ascii="Arial" w:eastAsia="Times New Roman" w:hAnsi="Arial" w:cs="Arial"/>
          <w:sz w:val="24"/>
          <w:szCs w:val="24"/>
          <w:lang w:val="en-US" w:eastAsia="el-GR"/>
        </w:rPr>
        <w:t xml:space="preserve">Diagnosis is made by measurement of cortisol levels in urine and blood in the </w:t>
      </w:r>
      <w:r w:rsidR="008C6B53" w:rsidRPr="00EA5909">
        <w:rPr>
          <w:rFonts w:ascii="Arial" w:eastAsia="Times New Roman" w:hAnsi="Arial" w:cs="Arial"/>
          <w:sz w:val="24"/>
          <w:szCs w:val="24"/>
          <w:lang w:val="en-US" w:eastAsia="el-GR"/>
        </w:rPr>
        <w:t>context</w:t>
      </w:r>
      <w:r w:rsidRPr="00EA5909">
        <w:rPr>
          <w:rFonts w:ascii="Arial" w:eastAsia="Times New Roman" w:hAnsi="Arial" w:cs="Arial"/>
          <w:sz w:val="24"/>
          <w:szCs w:val="24"/>
          <w:lang w:val="en-US" w:eastAsia="el-GR"/>
        </w:rPr>
        <w:t xml:space="preserve"> of some diagnostic tests. There is usually need for a computed tomography (CT) of the adrenals in order to depict the adrenal adenoma that produces cortisol and rarely </w:t>
      </w:r>
      <w:r w:rsidR="00125AD7" w:rsidRPr="00EA5909">
        <w:rPr>
          <w:rFonts w:ascii="Arial" w:eastAsia="Times New Roman" w:hAnsi="Arial" w:cs="Arial"/>
          <w:sz w:val="24"/>
          <w:szCs w:val="24"/>
          <w:lang w:val="en-US" w:eastAsia="el-GR"/>
        </w:rPr>
        <w:t xml:space="preserve">need for </w:t>
      </w:r>
      <w:r w:rsidRPr="00EA5909">
        <w:rPr>
          <w:rFonts w:ascii="Arial" w:eastAsia="Times New Roman" w:hAnsi="Arial" w:cs="Arial"/>
          <w:sz w:val="24"/>
          <w:szCs w:val="24"/>
          <w:lang w:val="en-US" w:eastAsia="el-GR"/>
        </w:rPr>
        <w:t>adrenal vein sampling.</w:t>
      </w:r>
    </w:p>
    <w:p w14:paraId="4FB3773A" w14:textId="60D10B60" w:rsidR="00075A14" w:rsidRPr="00EA5909" w:rsidRDefault="00075A14" w:rsidP="00EA5909">
      <w:pPr>
        <w:spacing w:after="120" w:line="288" w:lineRule="auto"/>
        <w:jc w:val="both"/>
        <w:rPr>
          <w:rFonts w:ascii="Arial" w:eastAsia="Times New Roman" w:hAnsi="Arial" w:cs="Arial"/>
          <w:sz w:val="24"/>
          <w:szCs w:val="24"/>
          <w:lang w:val="en-US" w:eastAsia="el-GR"/>
        </w:rPr>
      </w:pPr>
      <w:r w:rsidRPr="00EA5909">
        <w:rPr>
          <w:rFonts w:ascii="Arial" w:eastAsia="Times New Roman" w:hAnsi="Arial" w:cs="Arial"/>
          <w:sz w:val="24"/>
          <w:szCs w:val="24"/>
          <w:lang w:val="en-US" w:eastAsia="el-GR"/>
        </w:rPr>
        <w:t>Treatment consists of laparoscopic excision of the adrenal gland that curries the adenoma.</w:t>
      </w:r>
      <w:bookmarkStart w:id="0" w:name="_GoBack"/>
      <w:bookmarkEnd w:id="0"/>
    </w:p>
    <w:p w14:paraId="312B2112" w14:textId="77777777" w:rsidR="00423327" w:rsidRPr="00EA5909" w:rsidRDefault="00423327" w:rsidP="00EA5909">
      <w:pPr>
        <w:spacing w:after="120" w:line="288" w:lineRule="auto"/>
        <w:ind w:left="720"/>
        <w:jc w:val="both"/>
        <w:rPr>
          <w:rFonts w:ascii="Arial" w:eastAsia="Times New Roman" w:hAnsi="Arial" w:cs="Arial"/>
          <w:sz w:val="24"/>
          <w:szCs w:val="24"/>
          <w:lang w:val="en-US" w:eastAsia="el-GR"/>
        </w:rPr>
      </w:pPr>
    </w:p>
    <w:p w14:paraId="5EA07DFD" w14:textId="77777777" w:rsidR="00C50279" w:rsidRPr="00EA5909" w:rsidRDefault="00C50279" w:rsidP="00EA5909">
      <w:pPr>
        <w:spacing w:after="120" w:line="288" w:lineRule="auto"/>
        <w:jc w:val="both"/>
        <w:rPr>
          <w:rFonts w:ascii="Arial" w:hAnsi="Arial" w:cs="Arial"/>
          <w:lang w:val="en-US"/>
        </w:rPr>
      </w:pPr>
    </w:p>
    <w:sectPr w:rsidR="00C50279" w:rsidRPr="00EA5909" w:rsidSect="00EA5909">
      <w:headerReference w:type="default" r:id="rId7"/>
      <w:footerReference w:type="default" r:id="rId8"/>
      <w:pgSz w:w="12240" w:h="15840"/>
      <w:pgMar w:top="981"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FF71F" w14:textId="77777777" w:rsidR="00EA5909" w:rsidRDefault="00EA5909" w:rsidP="00EA5909">
      <w:pPr>
        <w:spacing w:after="0" w:line="240" w:lineRule="auto"/>
      </w:pPr>
      <w:r>
        <w:separator/>
      </w:r>
    </w:p>
  </w:endnote>
  <w:endnote w:type="continuationSeparator" w:id="0">
    <w:p w14:paraId="27CA3577" w14:textId="77777777" w:rsidR="00EA5909" w:rsidRDefault="00EA5909" w:rsidP="00EA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673"/>
    </w:tblGrid>
    <w:tr w:rsidR="00EA5909" w:rsidRPr="003619C9" w14:paraId="24D84F20" w14:textId="77777777" w:rsidTr="00BE4E36">
      <w:trPr>
        <w:trHeight w:val="280"/>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14:paraId="3367814E" w14:textId="79AFB418" w:rsidR="00EA5909" w:rsidRPr="003619C9" w:rsidRDefault="00EA5909" w:rsidP="00EA5909">
          <w:pPr>
            <w:tabs>
              <w:tab w:val="center" w:pos="4153"/>
              <w:tab w:val="right" w:pos="8306"/>
            </w:tabs>
            <w:spacing w:after="0" w:line="240" w:lineRule="auto"/>
            <w:rPr>
              <w:rFonts w:ascii="Arial" w:eastAsia="Times New Roman" w:hAnsi="Arial" w:cs="Arial"/>
              <w:b/>
              <w:sz w:val="16"/>
              <w:szCs w:val="16"/>
              <w:lang w:eastAsia="el-GR"/>
            </w:rPr>
          </w:pPr>
          <w:r w:rsidRPr="003619C9">
            <w:rPr>
              <w:rFonts w:ascii="Arial" w:eastAsia="Times New Roman" w:hAnsi="Arial" w:cs="Arial"/>
              <w:b/>
              <w:sz w:val="16"/>
              <w:szCs w:val="16"/>
              <w:lang w:eastAsia="el-GR"/>
            </w:rPr>
            <w:t xml:space="preserve">ΕΚΔΟΣΗ 1: 27/12/2019                                 </w:t>
          </w:r>
          <w:r w:rsidR="00FA08F7">
            <w:rPr>
              <w:rFonts w:ascii="Arial" w:eastAsia="Times New Roman" w:hAnsi="Arial" w:cs="Arial"/>
              <w:b/>
              <w:sz w:val="16"/>
              <w:szCs w:val="16"/>
              <w:lang w:eastAsia="el-GR"/>
            </w:rPr>
            <w:t xml:space="preserve">                </w:t>
          </w:r>
          <w:r w:rsidRPr="003619C9">
            <w:rPr>
              <w:rFonts w:ascii="Arial" w:eastAsia="Times New Roman" w:hAnsi="Arial" w:cs="Arial"/>
              <w:b/>
              <w:sz w:val="16"/>
              <w:szCs w:val="16"/>
              <w:lang w:eastAsia="el-GR"/>
            </w:rPr>
            <w:t xml:space="preserve">              Σελ. </w:t>
          </w:r>
          <w:r w:rsidRPr="003619C9">
            <w:rPr>
              <w:rFonts w:ascii="Arial" w:eastAsia="Times New Roman" w:hAnsi="Arial" w:cs="Arial"/>
              <w:b/>
              <w:sz w:val="16"/>
              <w:szCs w:val="16"/>
              <w:lang w:eastAsia="el-GR"/>
            </w:rPr>
            <w:fldChar w:fldCharType="begin"/>
          </w:r>
          <w:r w:rsidRPr="003619C9">
            <w:rPr>
              <w:rFonts w:ascii="Arial" w:eastAsia="Times New Roman" w:hAnsi="Arial" w:cs="Arial"/>
              <w:b/>
              <w:sz w:val="16"/>
              <w:szCs w:val="16"/>
              <w:lang w:eastAsia="el-GR"/>
            </w:rPr>
            <w:instrText xml:space="preserve"> PAGE  </w:instrText>
          </w:r>
          <w:r w:rsidRPr="003619C9">
            <w:rPr>
              <w:rFonts w:ascii="Arial" w:eastAsia="Times New Roman" w:hAnsi="Arial" w:cs="Arial"/>
              <w:b/>
              <w:sz w:val="16"/>
              <w:szCs w:val="16"/>
              <w:lang w:eastAsia="el-GR"/>
            </w:rPr>
            <w:fldChar w:fldCharType="separate"/>
          </w:r>
          <w:r w:rsidR="00060FAE">
            <w:rPr>
              <w:rFonts w:ascii="Arial" w:eastAsia="Times New Roman" w:hAnsi="Arial" w:cs="Arial"/>
              <w:b/>
              <w:noProof/>
              <w:sz w:val="16"/>
              <w:szCs w:val="16"/>
              <w:lang w:eastAsia="el-GR"/>
            </w:rPr>
            <w:t>1</w:t>
          </w:r>
          <w:r w:rsidRPr="003619C9">
            <w:rPr>
              <w:rFonts w:ascii="Arial" w:eastAsia="Times New Roman" w:hAnsi="Arial" w:cs="Arial"/>
              <w:b/>
              <w:sz w:val="16"/>
              <w:szCs w:val="16"/>
              <w:lang w:eastAsia="el-GR"/>
            </w:rPr>
            <w:fldChar w:fldCharType="end"/>
          </w:r>
          <w:r w:rsidRPr="003619C9">
            <w:rPr>
              <w:rFonts w:ascii="Arial" w:eastAsia="Times New Roman" w:hAnsi="Arial" w:cs="Arial"/>
              <w:b/>
              <w:sz w:val="16"/>
              <w:szCs w:val="16"/>
              <w:lang w:eastAsia="el-GR"/>
            </w:rPr>
            <w:t>/</w:t>
          </w:r>
          <w:r w:rsidRPr="003619C9">
            <w:rPr>
              <w:rFonts w:ascii="Arial" w:eastAsia="Times New Roman" w:hAnsi="Arial" w:cs="Arial"/>
              <w:b/>
              <w:sz w:val="16"/>
              <w:szCs w:val="16"/>
              <w:lang w:eastAsia="el-GR"/>
            </w:rPr>
            <w:fldChar w:fldCharType="begin"/>
          </w:r>
          <w:r w:rsidRPr="003619C9">
            <w:rPr>
              <w:rFonts w:ascii="Arial" w:eastAsia="Times New Roman" w:hAnsi="Arial" w:cs="Arial"/>
              <w:b/>
              <w:sz w:val="16"/>
              <w:szCs w:val="16"/>
              <w:lang w:eastAsia="el-GR"/>
            </w:rPr>
            <w:instrText xml:space="preserve"> NUMPAGES  </w:instrText>
          </w:r>
          <w:r w:rsidRPr="003619C9">
            <w:rPr>
              <w:rFonts w:ascii="Arial" w:eastAsia="Times New Roman" w:hAnsi="Arial" w:cs="Arial"/>
              <w:b/>
              <w:sz w:val="16"/>
              <w:szCs w:val="16"/>
              <w:lang w:eastAsia="el-GR"/>
            </w:rPr>
            <w:fldChar w:fldCharType="separate"/>
          </w:r>
          <w:r w:rsidR="00060FAE">
            <w:rPr>
              <w:rFonts w:ascii="Arial" w:eastAsia="Times New Roman" w:hAnsi="Arial" w:cs="Arial"/>
              <w:b/>
              <w:noProof/>
              <w:sz w:val="16"/>
              <w:szCs w:val="16"/>
              <w:lang w:eastAsia="el-GR"/>
            </w:rPr>
            <w:t>2</w:t>
          </w:r>
          <w:r w:rsidRPr="003619C9">
            <w:rPr>
              <w:rFonts w:ascii="Arial" w:eastAsia="Times New Roman" w:hAnsi="Arial" w:cs="Arial"/>
              <w:b/>
              <w:sz w:val="16"/>
              <w:szCs w:val="16"/>
              <w:lang w:eastAsia="el-GR"/>
            </w:rPr>
            <w:fldChar w:fldCharType="end"/>
          </w:r>
          <w:r w:rsidRPr="003619C9">
            <w:rPr>
              <w:rFonts w:ascii="Arial" w:eastAsia="Times New Roman" w:hAnsi="Arial" w:cs="Arial"/>
              <w:sz w:val="18"/>
              <w:szCs w:val="20"/>
              <w:lang w:eastAsia="el-GR"/>
            </w:rPr>
            <w:t xml:space="preserve">                  </w:t>
          </w:r>
        </w:p>
      </w:tc>
    </w:tr>
    <w:tr w:rsidR="00EA5909" w:rsidRPr="003619C9" w14:paraId="2AD4A0B3" w14:textId="77777777" w:rsidTr="00BE4E36">
      <w:trPr>
        <w:trHeight w:val="428"/>
      </w:trPr>
      <w:tc>
        <w:tcPr>
          <w:tcW w:w="2571" w:type="pct"/>
          <w:tcBorders>
            <w:top w:val="single" w:sz="4" w:space="0" w:color="auto"/>
            <w:left w:val="single" w:sz="4" w:space="0" w:color="auto"/>
            <w:bottom w:val="single" w:sz="4" w:space="0" w:color="auto"/>
            <w:right w:val="single" w:sz="4" w:space="0" w:color="auto"/>
          </w:tcBorders>
          <w:vAlign w:val="bottom"/>
          <w:hideMark/>
        </w:tcPr>
        <w:p w14:paraId="75D37926" w14:textId="1C5D3438" w:rsidR="00EA5909" w:rsidRDefault="00EA5909" w:rsidP="00EA5909">
          <w:pPr>
            <w:tabs>
              <w:tab w:val="center" w:pos="4153"/>
              <w:tab w:val="right" w:pos="8306"/>
            </w:tabs>
            <w:spacing w:after="0" w:line="240" w:lineRule="auto"/>
            <w:rPr>
              <w:rFonts w:ascii="Arial" w:eastAsia="Times New Roman" w:hAnsi="Arial" w:cs="Arial"/>
              <w:b/>
              <w:sz w:val="16"/>
              <w:szCs w:val="16"/>
              <w:lang w:eastAsia="el-GR"/>
            </w:rPr>
          </w:pPr>
          <w:r w:rsidRPr="003619C9">
            <w:rPr>
              <w:rFonts w:ascii="Arial" w:eastAsia="Times New Roman" w:hAnsi="Arial" w:cs="Arial"/>
              <w:b/>
              <w:sz w:val="16"/>
              <w:szCs w:val="16"/>
              <w:lang w:eastAsia="el-GR"/>
            </w:rPr>
            <w:t xml:space="preserve">ΣΥΝΤΑΞΗ : ΚΕΝΤΡΟ ΕΜΠΕΙΡΟΓΝΩΜΟΣΥΝΗΣ ΣΠΑΝΙΩΝ ΕΝΔΟΚΡΙΝΟΛΟΓΙΚΩΝ ΝΟΣΗΜΑΤΩΝ </w:t>
          </w:r>
        </w:p>
        <w:p w14:paraId="3EA8F72D" w14:textId="77777777" w:rsidR="00FA08F7" w:rsidRDefault="00FA08F7" w:rsidP="00EA5909">
          <w:pPr>
            <w:tabs>
              <w:tab w:val="center" w:pos="4153"/>
              <w:tab w:val="right" w:pos="8306"/>
            </w:tabs>
            <w:spacing w:after="0" w:line="240" w:lineRule="auto"/>
            <w:rPr>
              <w:rFonts w:ascii="Arial" w:eastAsia="Times New Roman" w:hAnsi="Arial" w:cs="Arial"/>
              <w:b/>
              <w:sz w:val="16"/>
              <w:szCs w:val="16"/>
              <w:lang w:eastAsia="el-GR"/>
            </w:rPr>
          </w:pPr>
        </w:p>
        <w:p w14:paraId="19604489" w14:textId="649CFE45" w:rsidR="00FA08F7" w:rsidRPr="003619C9" w:rsidRDefault="00FA08F7" w:rsidP="00EA5909">
          <w:pPr>
            <w:tabs>
              <w:tab w:val="center" w:pos="4153"/>
              <w:tab w:val="right" w:pos="8306"/>
            </w:tabs>
            <w:spacing w:after="0" w:line="240" w:lineRule="auto"/>
            <w:rPr>
              <w:rFonts w:ascii="Arial" w:eastAsia="Times New Roman" w:hAnsi="Arial" w:cs="Arial"/>
              <w:b/>
              <w:sz w:val="16"/>
              <w:szCs w:val="16"/>
              <w:lang w:eastAsia="el-GR"/>
            </w:rPr>
          </w:pPr>
        </w:p>
      </w:tc>
      <w:tc>
        <w:tcPr>
          <w:tcW w:w="2429" w:type="pct"/>
          <w:tcBorders>
            <w:top w:val="single" w:sz="4" w:space="0" w:color="auto"/>
            <w:left w:val="single" w:sz="4" w:space="0" w:color="auto"/>
            <w:bottom w:val="single" w:sz="4" w:space="0" w:color="auto"/>
            <w:right w:val="single" w:sz="4" w:space="0" w:color="auto"/>
          </w:tcBorders>
        </w:tcPr>
        <w:p w14:paraId="2AF597FD" w14:textId="22FE99C1" w:rsidR="00EA5909" w:rsidRPr="003619C9" w:rsidRDefault="00EA5909" w:rsidP="00EA5909">
          <w:pPr>
            <w:tabs>
              <w:tab w:val="center" w:pos="4153"/>
              <w:tab w:val="right" w:pos="8306"/>
            </w:tabs>
            <w:spacing w:after="0" w:line="240" w:lineRule="auto"/>
            <w:rPr>
              <w:rFonts w:ascii="Arial" w:eastAsia="Times New Roman" w:hAnsi="Arial" w:cs="Arial"/>
              <w:b/>
              <w:sz w:val="16"/>
              <w:szCs w:val="16"/>
              <w:lang w:eastAsia="el-GR"/>
            </w:rPr>
          </w:pPr>
          <w:r w:rsidRPr="003619C9">
            <w:rPr>
              <w:rFonts w:ascii="Arial" w:eastAsia="Times New Roman" w:hAnsi="Arial" w:cs="Arial"/>
              <w:b/>
              <w:sz w:val="16"/>
              <w:szCs w:val="16"/>
              <w:lang w:eastAsia="el-GR"/>
            </w:rPr>
            <w:t xml:space="preserve">ΕΛΕΓΧΟΣ-ΕΓΚΡΙΣΗ: </w:t>
          </w:r>
          <w:r w:rsidR="00FA08F7">
            <w:rPr>
              <w:rFonts w:ascii="Arial" w:eastAsia="Times New Roman" w:hAnsi="Arial" w:cs="Arial"/>
              <w:b/>
              <w:sz w:val="16"/>
              <w:szCs w:val="16"/>
              <w:lang w:eastAsia="el-GR"/>
            </w:rPr>
            <w:t xml:space="preserve"> </w:t>
          </w:r>
          <w:r w:rsidRPr="003619C9">
            <w:rPr>
              <w:rFonts w:ascii="Arial" w:eastAsia="Times New Roman" w:hAnsi="Arial" w:cs="Arial"/>
              <w:b/>
              <w:sz w:val="16"/>
              <w:szCs w:val="16"/>
              <w:lang w:eastAsia="el-GR"/>
            </w:rPr>
            <w:t>ΘΕΟΔΩΡΑ ΚΟΥΝΑΔΗ</w:t>
          </w:r>
        </w:p>
      </w:tc>
    </w:tr>
  </w:tbl>
  <w:p w14:paraId="3A25BA0F" w14:textId="77777777" w:rsidR="00EA5909" w:rsidRPr="003619C9" w:rsidRDefault="00EA5909" w:rsidP="00EA5909">
    <w:pPr>
      <w:tabs>
        <w:tab w:val="center" w:pos="4153"/>
        <w:tab w:val="right" w:pos="8306"/>
      </w:tabs>
      <w:spacing w:after="0" w:line="240" w:lineRule="auto"/>
      <w:rPr>
        <w:rFonts w:ascii="Times New Roman" w:eastAsia="Times New Roman" w:hAnsi="Times New Roman"/>
        <w:sz w:val="24"/>
        <w:szCs w:val="24"/>
        <w:lang w:val="x-none"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004EA" w14:textId="77777777" w:rsidR="00EA5909" w:rsidRDefault="00EA5909" w:rsidP="00EA5909">
      <w:pPr>
        <w:spacing w:after="0" w:line="240" w:lineRule="auto"/>
      </w:pPr>
      <w:r>
        <w:separator/>
      </w:r>
    </w:p>
  </w:footnote>
  <w:footnote w:type="continuationSeparator" w:id="0">
    <w:p w14:paraId="03E1981C" w14:textId="77777777" w:rsidR="00EA5909" w:rsidRDefault="00EA5909" w:rsidP="00EA5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3556"/>
      <w:gridCol w:w="995"/>
    </w:tblGrid>
    <w:tr w:rsidR="00EA5909" w:rsidRPr="003619C9" w14:paraId="13461CE8" w14:textId="77777777" w:rsidTr="00060FAE">
      <w:trPr>
        <w:trHeight w:val="284"/>
      </w:trPr>
      <w:tc>
        <w:tcPr>
          <w:tcW w:w="2635" w:type="pct"/>
          <w:tcBorders>
            <w:top w:val="single" w:sz="4" w:space="0" w:color="auto"/>
            <w:left w:val="single" w:sz="4" w:space="0" w:color="auto"/>
            <w:bottom w:val="single" w:sz="4" w:space="0" w:color="auto"/>
            <w:right w:val="single" w:sz="4" w:space="0" w:color="auto"/>
          </w:tcBorders>
          <w:vAlign w:val="center"/>
          <w:hideMark/>
        </w:tcPr>
        <w:p w14:paraId="0AFD371A" w14:textId="77777777" w:rsidR="00EA5909" w:rsidRPr="003619C9" w:rsidRDefault="00EA5909" w:rsidP="00EA5909">
          <w:pPr>
            <w:tabs>
              <w:tab w:val="left" w:pos="6059"/>
              <w:tab w:val="left" w:pos="12249"/>
            </w:tabs>
            <w:spacing w:after="0" w:line="240" w:lineRule="auto"/>
            <w:jc w:val="center"/>
            <w:rPr>
              <w:rFonts w:ascii="Arial" w:eastAsia="Times New Roman" w:hAnsi="Arial" w:cs="Arial"/>
              <w:b/>
              <w:sz w:val="18"/>
              <w:szCs w:val="18"/>
              <w:lang w:eastAsia="el-GR"/>
            </w:rPr>
          </w:pPr>
          <w:r w:rsidRPr="003619C9">
            <w:rPr>
              <w:rFonts w:ascii="Arial" w:eastAsia="Times New Roman" w:hAnsi="Arial" w:cs="Arial"/>
              <w:b/>
              <w:noProof/>
              <w:sz w:val="18"/>
              <w:szCs w:val="18"/>
              <w:lang w:eastAsia="el-GR"/>
            </w:rPr>
            <w:drawing>
              <wp:inline distT="0" distB="0" distL="0" distR="0" wp14:anchorId="335FAC7B" wp14:editId="7868C45F">
                <wp:extent cx="2800350" cy="1066800"/>
                <wp:effectExtent l="0" t="0" r="0" b="0"/>
                <wp:docPr id="3" name="Picture 3" descr="Logo Γεννηματά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Γεννηματά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066800"/>
                        </a:xfrm>
                        <a:prstGeom prst="rect">
                          <a:avLst/>
                        </a:prstGeom>
                        <a:noFill/>
                        <a:ln>
                          <a:noFill/>
                        </a:ln>
                      </pic:spPr>
                    </pic:pic>
                  </a:graphicData>
                </a:graphic>
              </wp:inline>
            </w:drawing>
          </w:r>
        </w:p>
      </w:tc>
      <w:tc>
        <w:tcPr>
          <w:tcW w:w="1848" w:type="pct"/>
          <w:vMerge w:val="restart"/>
          <w:tcBorders>
            <w:top w:val="single" w:sz="4" w:space="0" w:color="auto"/>
            <w:left w:val="single" w:sz="4" w:space="0" w:color="auto"/>
            <w:bottom w:val="single" w:sz="4" w:space="0" w:color="auto"/>
            <w:right w:val="single" w:sz="4" w:space="0" w:color="auto"/>
          </w:tcBorders>
          <w:vAlign w:val="center"/>
          <w:hideMark/>
        </w:tcPr>
        <w:p w14:paraId="2F378D41" w14:textId="124FDCC3" w:rsidR="00EA5909" w:rsidRPr="003619C9" w:rsidRDefault="00EA5909" w:rsidP="00EA5909">
          <w:pPr>
            <w:tabs>
              <w:tab w:val="center" w:pos="4153"/>
              <w:tab w:val="left" w:pos="6059"/>
              <w:tab w:val="right" w:pos="8306"/>
              <w:tab w:val="left" w:pos="12249"/>
            </w:tabs>
            <w:spacing w:after="0" w:line="240" w:lineRule="auto"/>
            <w:jc w:val="center"/>
            <w:rPr>
              <w:rFonts w:ascii="Arial" w:eastAsia="Times New Roman" w:hAnsi="Arial" w:cs="Arial"/>
              <w:b/>
              <w:sz w:val="16"/>
              <w:szCs w:val="16"/>
              <w:lang w:eastAsia="el-GR"/>
            </w:rPr>
          </w:pPr>
          <w:r>
            <w:rPr>
              <w:rFonts w:ascii="Arial" w:hAnsi="Arial" w:cs="Arial"/>
              <w:b/>
              <w:sz w:val="28"/>
            </w:rPr>
            <w:t xml:space="preserve">Ενημερωτικό έντυπο για το Σύνδρομο </w:t>
          </w:r>
          <w:r>
            <w:rPr>
              <w:rFonts w:ascii="Arial" w:hAnsi="Arial" w:cs="Arial"/>
              <w:b/>
              <w:sz w:val="28"/>
              <w:lang w:val="en-US"/>
            </w:rPr>
            <w:t>Cushing</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14:paraId="0132C1EC" w14:textId="77777777" w:rsidR="00EA5909" w:rsidRPr="003619C9" w:rsidRDefault="00EA5909" w:rsidP="00EA5909">
          <w:pPr>
            <w:tabs>
              <w:tab w:val="left" w:pos="6059"/>
              <w:tab w:val="left" w:pos="12249"/>
            </w:tabs>
            <w:spacing w:after="0" w:line="240" w:lineRule="auto"/>
            <w:jc w:val="center"/>
            <w:rPr>
              <w:rFonts w:ascii="Arial" w:eastAsia="Times New Roman" w:hAnsi="Arial" w:cs="Arial"/>
              <w:b/>
              <w:sz w:val="32"/>
              <w:szCs w:val="32"/>
              <w:lang w:eastAsia="el-GR"/>
            </w:rPr>
          </w:pPr>
          <w:r>
            <w:rPr>
              <w:rFonts w:ascii="Arial" w:eastAsia="Times New Roman" w:hAnsi="Arial" w:cs="Arial"/>
              <w:b/>
              <w:sz w:val="32"/>
              <w:szCs w:val="32"/>
              <w:lang w:eastAsia="el-GR"/>
            </w:rPr>
            <w:t>Ε1</w:t>
          </w:r>
        </w:p>
      </w:tc>
    </w:tr>
    <w:tr w:rsidR="00060FAE" w:rsidRPr="003619C9" w14:paraId="3E225FED" w14:textId="77777777" w:rsidTr="00060FAE">
      <w:trPr>
        <w:trHeight w:val="284"/>
      </w:trPr>
      <w:tc>
        <w:tcPr>
          <w:tcW w:w="2635" w:type="pct"/>
          <w:tcBorders>
            <w:top w:val="single" w:sz="4" w:space="0" w:color="auto"/>
            <w:left w:val="single" w:sz="4" w:space="0" w:color="auto"/>
            <w:bottom w:val="single" w:sz="4" w:space="0" w:color="auto"/>
            <w:right w:val="single" w:sz="4" w:space="0" w:color="auto"/>
          </w:tcBorders>
          <w:vAlign w:val="center"/>
          <w:hideMark/>
        </w:tcPr>
        <w:p w14:paraId="215CCA02" w14:textId="77777777" w:rsidR="00060FAE" w:rsidRDefault="00060FAE" w:rsidP="00060FAE">
          <w:pPr>
            <w:tabs>
              <w:tab w:val="center" w:pos="4153"/>
              <w:tab w:val="left" w:pos="6059"/>
              <w:tab w:val="right" w:pos="8306"/>
              <w:tab w:val="left" w:pos="12249"/>
            </w:tabs>
            <w:spacing w:after="0" w:line="240" w:lineRule="auto"/>
            <w:jc w:val="center"/>
            <w:rPr>
              <w:rFonts w:ascii="Arial" w:hAnsi="Arial" w:cs="Arial"/>
              <w:b/>
              <w:sz w:val="16"/>
              <w:szCs w:val="16"/>
              <w:lang w:val="x-none" w:eastAsia="x-none"/>
            </w:rPr>
          </w:pPr>
          <w:r>
            <w:rPr>
              <w:rFonts w:ascii="Arial" w:hAnsi="Arial" w:cs="Arial"/>
              <w:b/>
              <w:sz w:val="16"/>
              <w:szCs w:val="16"/>
              <w:lang w:val="x-none" w:eastAsia="x-none"/>
            </w:rPr>
            <w:t xml:space="preserve">ΓΕΝΙΚΟ ΝΟΣΟΚΟΜΕΙΟ ΑΘΗΝΩΝ «Γ. ΓΕΝΝΗΜΑΤΑΣ» </w:t>
          </w:r>
        </w:p>
        <w:p w14:paraId="7FBE7FA5" w14:textId="77777777" w:rsidR="00060FAE" w:rsidRDefault="00060FAE" w:rsidP="00060FAE">
          <w:pPr>
            <w:tabs>
              <w:tab w:val="center" w:pos="4153"/>
              <w:tab w:val="left" w:pos="6059"/>
              <w:tab w:val="right" w:pos="8306"/>
              <w:tab w:val="left" w:pos="12249"/>
            </w:tabs>
            <w:spacing w:after="0" w:line="240" w:lineRule="auto"/>
            <w:jc w:val="center"/>
            <w:rPr>
              <w:rFonts w:ascii="Arial" w:hAnsi="Arial" w:cs="Arial"/>
              <w:b/>
              <w:sz w:val="16"/>
              <w:szCs w:val="16"/>
              <w:lang w:val="x-none" w:eastAsia="x-none"/>
            </w:rPr>
          </w:pPr>
          <w:r>
            <w:rPr>
              <w:rFonts w:ascii="Arial" w:hAnsi="Arial" w:cs="Arial"/>
              <w:b/>
              <w:sz w:val="16"/>
              <w:szCs w:val="16"/>
              <w:lang w:val="x-none" w:eastAsia="x-none"/>
            </w:rPr>
            <w:t>ΚΕΝΤΡΟ ΕΜΠΕΙΡΟΓΝΩΜΟΣΥΝΗΣ ΣΠΑΝΙΩΝ ΕΝΔΟΚΡΙΝΟΛΟΓΙΚΩΝ ΝΟΣΗΜΑΤΩΝ</w:t>
          </w:r>
        </w:p>
        <w:p w14:paraId="31052FF7" w14:textId="4A33E3BD" w:rsidR="00060FAE" w:rsidRPr="003619C9" w:rsidRDefault="00060FAE" w:rsidP="00060FAE">
          <w:pPr>
            <w:tabs>
              <w:tab w:val="left" w:pos="6059"/>
              <w:tab w:val="left" w:pos="12249"/>
            </w:tabs>
            <w:spacing w:after="0" w:line="240" w:lineRule="auto"/>
            <w:jc w:val="center"/>
            <w:rPr>
              <w:rFonts w:ascii="Arial" w:eastAsia="Times New Roman" w:hAnsi="Arial" w:cs="Arial"/>
              <w:sz w:val="24"/>
              <w:szCs w:val="24"/>
              <w:lang w:eastAsia="el-GR"/>
            </w:rPr>
          </w:pPr>
          <w:r>
            <w:rPr>
              <w:rFonts w:ascii="Arial" w:hAnsi="Arial" w:cs="Arial"/>
              <w:b/>
              <w:sz w:val="16"/>
              <w:szCs w:val="16"/>
            </w:rPr>
            <w:t>Α’ ΠΑΘΟΛΟΓΙΚΗ ΚΛΙΝΙΚΗ - ΕΝΔΟΚΡΙΝΟΛΟΓΙΚΗ ΜΟΝΑΔΑ ΚΑΙ ΚΕΝΤΡΟ ΣΑΚΧΑΡΩΔΟΥΣ ΔΙΑΒΗΤΗ</w:t>
          </w:r>
        </w:p>
      </w:tc>
      <w:tc>
        <w:tcPr>
          <w:tcW w:w="1848" w:type="pct"/>
          <w:vMerge/>
          <w:tcBorders>
            <w:top w:val="single" w:sz="4" w:space="0" w:color="auto"/>
            <w:left w:val="single" w:sz="4" w:space="0" w:color="auto"/>
            <w:bottom w:val="single" w:sz="4" w:space="0" w:color="auto"/>
            <w:right w:val="single" w:sz="4" w:space="0" w:color="auto"/>
          </w:tcBorders>
          <w:vAlign w:val="center"/>
          <w:hideMark/>
        </w:tcPr>
        <w:p w14:paraId="2F0DEACD" w14:textId="77777777" w:rsidR="00060FAE" w:rsidRPr="003619C9" w:rsidRDefault="00060FAE" w:rsidP="00060FAE">
          <w:pPr>
            <w:spacing w:after="0" w:line="240" w:lineRule="auto"/>
            <w:rPr>
              <w:rFonts w:ascii="Arial" w:eastAsia="Times New Roman" w:hAnsi="Arial" w:cs="Arial"/>
              <w:b/>
              <w:sz w:val="16"/>
              <w:szCs w:val="16"/>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58CAB" w14:textId="77777777" w:rsidR="00060FAE" w:rsidRPr="003619C9" w:rsidRDefault="00060FAE" w:rsidP="00060FAE">
          <w:pPr>
            <w:spacing w:after="0" w:line="240" w:lineRule="auto"/>
            <w:rPr>
              <w:rFonts w:ascii="Arial" w:eastAsia="Times New Roman" w:hAnsi="Arial" w:cs="Arial"/>
              <w:b/>
              <w:sz w:val="32"/>
              <w:szCs w:val="32"/>
              <w:lang w:eastAsia="el-GR"/>
            </w:rPr>
          </w:pPr>
        </w:p>
      </w:tc>
    </w:tr>
  </w:tbl>
  <w:p w14:paraId="47C6DED7" w14:textId="77777777" w:rsidR="00EA5909" w:rsidRPr="003619C9" w:rsidRDefault="00EA5909" w:rsidP="00EA5909">
    <w:pPr>
      <w:tabs>
        <w:tab w:val="center" w:pos="4153"/>
        <w:tab w:val="right" w:pos="8306"/>
      </w:tabs>
      <w:spacing w:after="0" w:line="240" w:lineRule="auto"/>
      <w:rPr>
        <w:rFonts w:ascii="Times New Roman" w:eastAsia="Times New Roman" w:hAnsi="Times New Roman"/>
        <w:sz w:val="16"/>
        <w:szCs w:val="16"/>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F6A34"/>
    <w:multiLevelType w:val="multilevel"/>
    <w:tmpl w:val="1CF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30EB4"/>
    <w:multiLevelType w:val="hybridMultilevel"/>
    <w:tmpl w:val="A9A827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5AA403A8"/>
    <w:multiLevelType w:val="hybridMultilevel"/>
    <w:tmpl w:val="0658D6FE"/>
    <w:lvl w:ilvl="0" w:tplc="3D9ACFB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752A1999"/>
    <w:multiLevelType w:val="hybridMultilevel"/>
    <w:tmpl w:val="92A8B4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5533"/>
    <w:rsid w:val="00060FAE"/>
    <w:rsid w:val="000659D5"/>
    <w:rsid w:val="00075A14"/>
    <w:rsid w:val="000F6925"/>
    <w:rsid w:val="00125AD7"/>
    <w:rsid w:val="00423327"/>
    <w:rsid w:val="005349EC"/>
    <w:rsid w:val="00856596"/>
    <w:rsid w:val="008C6B53"/>
    <w:rsid w:val="00C50279"/>
    <w:rsid w:val="00EA5909"/>
    <w:rsid w:val="00F75533"/>
    <w:rsid w:val="00FA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DD27A8"/>
  <w15:docId w15:val="{FFD8C8B2-4516-4E7D-B88E-798EBDA5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33"/>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5533"/>
    <w:pPr>
      <w:ind w:left="720"/>
    </w:pPr>
  </w:style>
  <w:style w:type="paragraph" w:styleId="Footer">
    <w:name w:val="footer"/>
    <w:aliases w:val="Char"/>
    <w:basedOn w:val="Normal"/>
    <w:link w:val="FooterChar"/>
    <w:uiPriority w:val="99"/>
    <w:rsid w:val="00423327"/>
    <w:pPr>
      <w:tabs>
        <w:tab w:val="center" w:pos="4153"/>
        <w:tab w:val="right" w:pos="8306"/>
      </w:tabs>
      <w:spacing w:after="0" w:line="240" w:lineRule="auto"/>
    </w:pPr>
  </w:style>
  <w:style w:type="character" w:customStyle="1" w:styleId="FooterChar">
    <w:name w:val="Footer Char"/>
    <w:aliases w:val="Char Char"/>
    <w:basedOn w:val="DefaultParagraphFont"/>
    <w:link w:val="Footer"/>
    <w:uiPriority w:val="99"/>
    <w:rsid w:val="00423327"/>
    <w:rPr>
      <w:rFonts w:ascii="Calibri" w:eastAsia="Calibri" w:hAnsi="Calibri" w:cs="Times New Roman"/>
      <w:lang w:val="el-GR"/>
    </w:rPr>
  </w:style>
  <w:style w:type="paragraph" w:styleId="Header">
    <w:name w:val="header"/>
    <w:basedOn w:val="Normal"/>
    <w:link w:val="HeaderChar"/>
    <w:uiPriority w:val="99"/>
    <w:unhideWhenUsed/>
    <w:rsid w:val="00EA5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909"/>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352</Words>
  <Characters>2008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usergna</dc:creator>
  <cp:lastModifiedBy>Katerina Lamprou</cp:lastModifiedBy>
  <cp:revision>11</cp:revision>
  <dcterms:created xsi:type="dcterms:W3CDTF">2019-12-13T05:34:00Z</dcterms:created>
  <dcterms:modified xsi:type="dcterms:W3CDTF">2020-01-29T15:48:00Z</dcterms:modified>
</cp:coreProperties>
</file>